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Propriétés optiques des matrices fluorées dopées par des ions de terres rares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Tairi; Latifa/ Université Badji Mokhtar/ Khiari, Saidi/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matrices fluorées/ ions de terres rares/ </w:t>
            </w:r>
          </w:p>
        </w:tc>
      </w:tr>
    </w:tbl>
    <w:p>
      <w:pPr>
        <w:pStyle w:val="Heading3"/>
      </w:pPr>
      <w:r>
        <w:t>Résumé :</w:t>
      </w:r>
    </w:p>
    <w:p>
      <w:r>
        <w:t>Ce travail est consacré à l'étude des matrices fluorées SrF2: Er+3 et vKY3F10: Pr3+. Une étude spectroscopique détaillée des deux ions Er3+ et Pr3+ en tant que ions actifs a été menée pour la réalisation de sources leser émettant dans le domaine visible.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