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Modelisation des ecoulements dans le milieu rocheux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Toumi; A / Université Badji Mokhtar/ Boumekik, A /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mecaniques/ le milieu rocheux / </w:t>
            </w:r>
          </w:p>
        </w:tc>
      </w:tr>
    </w:tbl>
    <w:p>
      <w:pPr>
        <w:pStyle w:val="Heading3"/>
      </w:pPr>
      <w:r>
        <w:t>Résumé :</w:t>
      </w:r>
    </w:p>
    <w:p>
      <w:r>
        <w:t xml:space="preserve">les chercheurs se heurtent à de nombreuses difficultés pouvant être liées à trois points des propriétés mécaniques du mnilieu comportement mécanique, répartition des contraintes, critères de rupture détermination des sollicitations  forces transmises par un ouvrage, action de l'eau souterraine, etc. en raison de leur comportement mécanique et hydraulique, les massifs rocheux ont un caractère essentiellement anisotrope lié en grande partie à la fissuration.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