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des chiroptères dans le nord-est Algérien et faune ectoparasite associée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Mohammed lamine/ Bouslama, Zihad/ Université Badji Mokhtar/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parasitisme/ richesse/ Chiroptéres/ Insectes/ parc national el kala/ </w:t>
            </w:r>
          </w:p>
        </w:tc>
      </w:tr>
    </w:tbl>
    <w:p>
      <w:pPr>
        <w:pStyle w:val="Heading3"/>
      </w:pPr>
      <w:r>
        <w:t>Résumé :</w:t>
      </w:r>
    </w:p>
    <w:p>
      <w:r>
        <w:t>Dans cette étude, nous nous sommes intéressé aux chiroptères et aux parasites qu'ils hébergent, et ce, dans une approche descriptive : des séances de capture réalisées sur une période s'étalant sur 24 mois (août 2012 et septembre 2014) dans six principaux habitats du parc national d'el kala, nous ont permis de dénombrer 477 individus appartenant à deux (02) familles, quatre (04) genres et dix (10) espèces dont la sérotine isabelle qui représente l'espèce la plus abondante, et ce, à raison de 15.8%. d'autre part, et ce, en terme de richesse spécifique, soug rguibette (bocage) est principalement l'habitat le plus riche d'el kala avec sept (07) espèces recensées. ainsi, le parc national d'el kala abrite 40% du patrimoine national en chiroptères, parmi ces derniers, deux (02) sont vulnérables et trois (03) menacés selon l'uicn.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