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activite antibacterienne d'une nouvelle classed'oxazolidinones contenant le groupement sulfonyle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Bouasla; Radia/ Unversité Badji Mokhtar/ Berredjm, Malika/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30 cm</w:t>
            </w:r>
          </w:p>
        </w:tc>
      </w:tr>
      <w:tr>
        <w:trPr>
          <w:trHeight w:val="567"/>
        </w:trPr>
        <w:tc>
          <w:tcPr>
            <w:tcW w:type="dxa" w:w="3000"/>
          </w:tcPr>
          <w:p>
            <w:r>
              <w:t>Format</w:t>
            </w:r>
          </w:p>
        </w:tc>
        <w:tc>
          <w:tcPr>
            <w:tcW w:type="dxa" w:w="7000"/>
          </w:tcPr>
          <w:p>
            <w:r>
              <w:t>cd</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isocyanate de chlorosulfonyle/ carboxylsulfamide/ </w:t>
            </w:r>
          </w:p>
        </w:tc>
      </w:tr>
    </w:tbl>
    <w:p>
      <w:pPr>
        <w:pStyle w:val="Heading3"/>
      </w:pPr>
      <w:r>
        <w:t>Résumé :</w:t>
      </w:r>
    </w:p>
    <w:p>
      <w:r>
        <w:t>Au cours de ce travail, nous avons développé la synthèse d'une nouvelle série d'oxazolidinoes modifiées irdel'isocyanate de chlorosufonyle. l'utilisation d'un alcool prochiral, le 1,3-dichloropropan-2-ol conduit à la formation des arboxylsulfamides. la cyclisation intramoléculaire dans des conditions douces permet l'accès aux 5- chlorométhyl oxazolidinones.nous avons également réalisé la synthèse d'une nouvelle série des n, n'-acylsulfonamides bis-oxazolidin-2-ones en deux étapes : carbamoylation, sulfamoylation à partir de l'isocyanate de chlorosulfonyle, l-lactate d'éthyle et l'oxazolidinone chirale. nous avons testé deux molécules de cette série sur la croissance et la viabilité de deux types des cellules lymphocytaires et parasitaires qui montrent la présence d'un effet cytotoxique relativement faible.nous avons synthétisé des rboxylsulfamides et des sulfonamides issus de malate de méthyle et d'amine primaire ou secondaire avec des rendements satisfaisants. notre choix est porté sur l'utilisation de l'isocyanate de chlorosulfonyle pour introduire le motif sulfonamide. l'activité biologique de certains sulfonamides synthétisés dans ce travail, a été évaluée in vitro et in vivo.les méthodes spectroscopiques, infrarouge, rmn du proton et carbone 13, la spectrométrie de masse et la diffraction de rayon x ont été mises à profit pour établir les caractéristiques structurales propres à ces composés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