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tude du comportement en choc et a faible vitesse de sollicitation des betons a fibres metallique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Yahiaoui; Mourad/ Université Badji Mokhtar/ Redjel, B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ibres/ bétons/ métalliqu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Depuis que le matériau béton existe, les spécialistes ont toujours cherchés à améliorer ses performances et à combattre ses défauts. parmi ceux-ci le principal est sans doute sa fissurabilité et par voie de conséquence sa faible résistance à la traction. ainsi l'idée d'armer le béton avec des armatures d'acier pouvant supporter les contraintes de traction a donnée naissance au beton armé. d'autre part, on sait aussi que la précontrainte évite au béton de travailler en traction du moins en dehors de sa résistance à la rupture en traction. ces deux solutions bien que largement utilisées dans la construction restent coûteuses et très difficiles à appliquer pour les pièces de faibles épaisseurs. l'incorporation de fibres de petites dimensions et avec des pourcentages volumiques assez faibles s'avère une solution intéressante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