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tude du comportement en choc et a faible vitesse de sollicitation des betons a fibres metalliques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hiaoui; Mourad/ Université Badji Mokhtar/ Redjel, B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ibres/ bétons/ métalliqu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epuis que le matériau béton existe, les spécialistes ont toujours cherchés à améliorer ses performances et à combattre ses défauts. parmi ceux-ci le principal est sans doute sa fissurabilité et par voie de conséquence sa faible résistance à la traction. ainsi l'idée d'armer le béton avec des armatures d'acier pouvant supporter les contraintes de traction a donnée naissance au beton armé. d'autre part, on sait aussi que la précontrainte évite au béton de travailler en traction du moins en dehors de sa résistance à la rupture en traction. ces deux solutions bien que largement utilisées dans la construction restent coûteuses et très difficiles à appliquer pour les pièces de faibles épaisseurs. l'incorporation de fibres de petites dimensions et avec des pourcentages volumiques assez faibles s'avère une solution intéressant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