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du comportement des materiaux traites aux liants hydrocarbones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Laradi; Nadir / L'institut National Des Sciences Appliquees Lyon / </w:t>
            </w:r>
          </w:p>
        </w:tc>
      </w:tr>
      <w:tr>
        <w:trPr>
          <w:trHeight w:val="567"/>
        </w:trPr>
        <w:tc>
          <w:tcPr>
            <w:tcW w:type="dxa" w:w="3000"/>
          </w:tcPr>
          <w:p>
            <w:r>
              <w:t>Nombre de Pages</w:t>
            </w:r>
          </w:p>
        </w:tc>
        <w:tc>
          <w:tcPr>
            <w:tcW w:type="dxa" w:w="7000"/>
          </w:tcPr>
          <w:p>
            <w:r>
              <w:t>388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Lyon </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compression/ charge constante/ </w:t>
            </w:r>
          </w:p>
        </w:tc>
      </w:tr>
    </w:tbl>
    <w:p>
      <w:pPr>
        <w:pStyle w:val="Heading3"/>
      </w:pPr>
      <w:r>
        <w:t>Résumé :</w:t>
      </w:r>
    </w:p>
    <w:p>
      <w:r>
        <w:t>Effectuons sur un échantillon homogène du matériau une expérience de traction ou une expérience de compression, on constate que si l'on applique une charge constante, il y a évolution de la déformation du matériau au cours du temps, et ceci quelque soit le niveau non nul de la charge appliquée, (inférieur évidemment à la charge de rupture) et quelle que soit l'histoire de charge (charge, décharge, vitesses de charge et de décharge, etc.) précèdent le palier actuel.pour les matériaux présentant la propriété de recouvrance, il y a même évolution de la déformation sous charge constante nulle après une histoire de décharge non nulle. donc l'existence de déformations différées des matériaux viscoélastiques est manifestée par ce phénomène ; en différenciant les matériaux viscoélastiques des matériaux viscoplastiques pour lesquels l'évolution de la déformation sous charge constante dépend du niveau de la charge et ou de l'histoire de charge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