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gestion des eaux dans la région de guelma moyenne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Boudjebieur; Essia/ Chaffai, Hicham/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gestion intégrée/ ressources en eau/ modélisation/ demande en eau/ </w:t>
            </w:r>
          </w:p>
        </w:tc>
      </w:tr>
    </w:tbl>
    <w:p>
      <w:pPr>
        <w:pStyle w:val="Heading3"/>
      </w:pPr>
      <w:r>
        <w:t>Résumé :</w:t>
      </w:r>
    </w:p>
    <w:p>
      <w:r>
        <w:t xml:space="preserve">La situation hydrique dans le bassin de la moyenne Seybouse est alarmante, une croissance démographique rapide, l'expansion des secteurs agricoles et industriels, le changement climatique et la détérioration de la qualité de l'eau et leur impact sur la santé publique créent des pressions accrues sur les ressources en eau. Le bassin de la moyenne Seybouse est une région montagneuse, au relief accidenté, d?une superficie de 820.30 km2 .Soumis à un climat subhumide. Le principal réservoir d'eau superficielle est le barrage de Bouhamdane d'un volume régularisé de 55 hm 3 . Les principaux réservoirs souterrains se présentent dans les systèmes aquifères de la plaine de Guelma, la plaine de Bouchegouf, la nappe des calcaires du bassin Oued Helia et les karsts d'Héliopolis. L'analyse des différentes utilisations de l'eau nous conduit à la nécessité d'établir une gestion intégrée des ressources en eau pour permettre une exploitation rationnelle. Une gestion durable des ressources en eau dépend fortement de l'évaluation des quantités et de la qualité des eaux qui sont destinées à l'alimentation en eau potable, à l'irrigation et à l'industrie. Le programme WEAP21 a été utilisé pour modéliser les ressources en eau de notre bassin d'étude, en choisissant 2017 comme année de référence, qui est un scénario de base pour la " demande en eau " et nous avons retenu 03 scénarios, deux liés au changement climatique basés sur les prévisions climatiques pour les horizons 2020-2050 obtenus à partir du modèle UKHI du issu du Global Water Partnership pour l'Algérie et ce sur 2 niveaux (Haut et Bas) et un scénario sur l'extension des terres irriguées sur la période de 31 ans (2018-2050). Sur la base des scénarios simulés mis en œuvre par le modèle WEAP, une pénurie d'eau a été mise en évidence à partir de l'année 2017.Nous avons également modélisé la qualité des eaux de surface de la zone d'étude à l'aide de l'indice de qualité de l'eau IQE et de techniques d'intelligence artificielle utilisant l'algorithme des techniques d'apprentissage automatique (arbre de décision, AdaBoost), résultat de l'urbanisation croissante et de la grande pollution causée par les déchets déversés dans la vallée de l'Oued Zénati, qui est considéré comme le plus grand affluant de Bouhamdane. Quant à l'eau de l'Oued Seybouse, les résultats de l'indice de qualité de l'eau d'irrigation ont été présentés au niveau de 12 stations de qualité acceptable pour l'irrigation.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