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intégrée des ressources en eaux dans le zab de biskra sud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Boutouga; Fateh/ Zouini, Derradji/ Université Badji Mokhtar/ </w:t>
            </w:r>
          </w:p>
        </w:tc>
      </w:tr>
      <w:tr>
        <w:trPr>
          <w:trHeight w:val="567"/>
        </w:trPr>
        <w:tc>
          <w:tcPr>
            <w:tcW w:type="dxa" w:w="3000"/>
          </w:tcPr>
          <w:p>
            <w:r>
              <w:t>Nombre de Pages</w:t>
            </w:r>
          </w:p>
        </w:tc>
        <w:tc>
          <w:tcPr>
            <w:tcW w:type="dxa" w:w="7000"/>
          </w:tcPr>
          <w:p>
            <w:r>
              <w:t>201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gestion intégrée/ ressources en eau/ pollution/ algérie/ biskra/ </w:t>
            </w:r>
          </w:p>
        </w:tc>
      </w:tr>
    </w:tbl>
    <w:p>
      <w:pPr>
        <w:pStyle w:val="Heading3"/>
      </w:pPr>
      <w:r>
        <w:t>Résumé :</w:t>
      </w:r>
    </w:p>
    <w:p>
      <w:r>
        <w:t xml:space="preserve">Cette étude est consacrée au diagnostic et l'actualisation des ressources en eaux superficielles et souterraines dans la wilaya de biskra. il est établi à base d'une masse importante de données pour but principal l'évaluation des ressources exploitables en eaux destinées pour l'usage domestique, agricole et industriel pour mettre en évidence les grands axes d'une gestion intégrée des ressources en eau en milieu aride et semi-aride. après les conditions naturelles citées précédemment, nous avons étudié les différentes fonctions socio- économiques qui entre en contact direct avec l'utilisations de cette ressource importante comme : le nombre des populations , les activités agricoles et industriels dans la wilaya de biskra, en suite on a procédé à l'évaluation des ressources en eau de surface et souterraine reconnues, mobilisées et exploitées et la manière de leur distribution actuelle au niveau de l'alimentation en eau potable, l'utilisations agricoles et industrielles. en fin de compte nous donnons une estimation perspective des besoins en eau des différents secteurs a court, moyen et longue terme, et un aperçu sur l'état des réseaux d'assainissement. l'affectation des ressources en eau dans la wilaya de biskra, la partie la plus importante des eaux mobilisées est destinée à la satisfaction des besoins agricole (utilisation pour l'irrigation), avec un volume de 875 hm3 / an, soit un taux de 85 %. toutefois, cette dominance est due aux besoins d'irrigation qui ne cessent de croître. les besoins domestiques tiennent une place prépondérante dans les prélèvements d'eau dans le bassin, un volume de 137 hm3 , soit 14 % de la totalité des ressources mobilisées. le volume consacré pour couvrir les besoins en eau industrielle est évalué à 12 hm3 par an, soit 1 % des pour ceci, une modélisation hydrologique des changements des structures et paramètres des systèmes hydrauliques est adoptée par le biais du modèle weap (water evaluation and planning system) pour remédier aux problèmes d'approvisionnement et de demande en eau sur des horizons de planification à long terme dans la wilaya de biskra.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