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Rarefaction et securisation de l'eau dans un bassin mediterraneen sous contraintes de rechauffement climatique et de croissance demographique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Hani; samir/ Bougherira, Nabil/ Université Badji Mokhtar/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aquifère côtier, Sismique réflexion, Intrusion d'eau marine/ </w:t>
            </w:r>
          </w:p>
        </w:tc>
      </w:tr>
    </w:tbl>
    <w:p>
      <w:pPr>
        <w:pStyle w:val="Heading3"/>
      </w:pPr>
      <w:r>
        <w:t>Résumé :</w:t>
      </w:r>
    </w:p>
    <w:p>
      <w:r>
        <w:t>La recherche de solutions pour résoudre les problèmes de l'eau et de l'environnement dans la basse Seybouse répond à la nécessité d'intégration, depuis la localisation et l'évaluation des ressources, jusqu'à la protection de leur qualité, mais tout en évaluant les éventuels effets néfastes. Elle contribue ainsi à la mise en œuvre de la politique de développement durable mise en œuvre depuis quelques années.</w:t>
        <w:br/>
        <w:br/>
        <w:t>L'application des codes MODFLOW et MT3DMS montre que les pompages d'eau souterraine ont provoqué une chute continue du niveau de l'eau et une hausse de la concentration en chlorures. De plus, l'interface eau douce-eau marine a progressé de 300 à 2500 m dans les terres. Ces résultats montrent la nécessité de prendre les mesures adéquates pour la protection de l'aquifère.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