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de rehabilitation par les microorganismes des sites contamines par les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Kout; Samia/ Hassaine, Amina/ Université Badji Mokhtar/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hydrocarbures/ réhabilitation/ bourbier pétrolier/ </w:t>
            </w:r>
          </w:p>
        </w:tc>
      </w:tr>
    </w:tbl>
    <w:p>
      <w:pPr>
        <w:pStyle w:val="Heading3"/>
      </w:pPr>
      <w:r>
        <w:t>Résumé :</w:t>
      </w:r>
    </w:p>
    <w:p>
      <w:r>
        <w:t>Le besoin de réhabiliter notre environnement a mené au développement d'un nombre important de technologies, vu que le phénomène de pollution par les hydrocarbures a une importance de plus en plus grande. Cependant, la région de Hassi-Messaoud (Sud-Est d'Algérie) est caractérisée par une industrie pétrolière très forte car elle renferme le plus grand gisement de pétrole d'Algérie qui ne cesse de générer des déchets dangereux ainsi que la prolifération des bourbiers pétroliers. Notre travail repose sur la collecte d'échantillons de  bourbiers situés au complexe GEA (Agreb, Gassi et Zotti) et d'apprécier leur degré de pollution par l'analyse de différents paramètres de caractérisation (paramètres physicochimiques, granulométrique et  les hydrocarbures (totaux et BTX)). Les résultats témoignent de l'installation d'une forte pollution hydrocarbonée avec présence d'hydrocarbures persistants.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