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facteurs influants directement sur le processus de soutirage sous les roches foudroyées (cas du gisement de Boukhadra)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Bourouh, A./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Magistère.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facteurs influants/ roches foudroyées/ </w:t>
            </w:r>
          </w:p>
        </w:tc>
      </w:tr>
    </w:tbl>
    <w:p>
      <w:pPr>
        <w:pStyle w:val="Heading3"/>
      </w:pPr>
      <w:r>
        <w:t>Résumé :</w:t>
      </w:r>
    </w:p>
    <w:p>
      <w:r>
        <w:t>En algérie, l'industrie minière est apellée aujourd'hui à remplir un rôle trés important dans l'écomomie nationale aux côtés des hydrocarbures. Les travaux minieres dans notre pays ont enregistré un développement rapide durant ces dernières années.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