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Modélisation mathématique et résolution numérique du système dynamique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Azzedine; Abdel Hakim/ Nouri, Fatma Zohra/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 données/ apprentissage supervisé/ modelisation mathematique/ </w:t>
            </w:r>
          </w:p>
        </w:tc>
      </w:tr>
    </w:tbl>
    <w:p>
      <w:pPr>
        <w:pStyle w:val="Heading3"/>
      </w:pPr>
      <w:r>
        <w:t>Résumé :</w:t>
      </w:r>
    </w:p>
    <w:p>
      <w:r>
        <w:t>Ces dernières années, les méthodes d'exploration de données ont été développées dans de nombreux domaines d'application dans le but de tirer les principales</w:t>
        <w:br/>
        <w:br/>
        <w:t>informations statistiques des données volumineuses et complexes. Ces informations</w:t>
        <w:br/>
        <w:br/>
        <w:t>permettent de décrire et caractériser les relations qui peuvent exister entre plusieurs</w:t>
        <w:br/>
        <w:br/>
        <w:t>données (Prédiction) ; certaines approches peuvent être utilisées pour regrouper les</w:t>
        <w:br/>
        <w:br/>
        <w:t>données de manière à faire apparaitre claire (clustering et classification). Ce travail</w:t>
        <w:br/>
        <w:br/>
        <w:t>est une contribution à la modélisation mathématique des systèmes complexes par ces</w:t>
        <w:br/>
        <w:br/>
        <w:t>différentes méthodes. La modélisation des systèmes complexes nécessite une analyse</w:t>
        <w:br/>
        <w:br/>
        <w:t>des interactions associées aux données analytiques et la sélection de structure, nous</w:t>
        <w:br/>
        <w:br/>
        <w:t>nous sommes intéressés à la recherche de modèles complexes entre les paramètres de</w:t>
        <w:br/>
        <w:br/>
        <w:t>fonctionnement de ces systèmes. Les algorithmes d'apprentissage supervisés et non</w:t>
        <w:br/>
        <w:br/>
        <w:t>supervisés seront ainsi étudiés et implémentés numériquement avec une approche</w:t>
        <w:br/>
        <w:br/>
        <w:t>adaptative des algorithmes existants pour tenir compte des variations locales des</w:t>
        <w:br/>
        <w:br/>
        <w:t>paramètres du milieu. La validation et les limites d'usage seront effectuées par des</w:t>
        <w:br/>
        <w:br/>
        <w:t>données réelles collectées des processus sidérurgiques typiques (Haut fourneau). Ainsi</w:t>
        <w:br/>
        <w:br/>
        <w:t>qu'en utilisant les données de contrôle de qualité d'un laboratoire accrédité pour le</w:t>
        <w:br/>
        <w:br/>
        <w:t>problème agro-industriel.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