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modèle dpsir pour la gestion d'un périmètre irrigué dans le bassin du saf saf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Allouche; Meriem/ Hani, A/ Université Badji Mokhtar/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ressources en eau/ variable/ bassin versant du saf-saf/ les avis des experts / gire/ </w:t>
            </w:r>
          </w:p>
        </w:tc>
      </w:tr>
    </w:tbl>
    <w:p>
      <w:pPr>
        <w:pStyle w:val="Heading3"/>
      </w:pPr>
      <w:r>
        <w:t>Résumé :</w:t>
      </w:r>
    </w:p>
    <w:p>
      <w:r>
        <w:t>Les pressions accrues sur les ressources en eau liées aux changements climatiques et d'usages de l'eau ainsi que les compétitions grandissantes entre usagers sont reconnues comme des enjeux mondiaux. la gestion des ressources en eau est l'un des grands soucis et défis relevés par les pays du monde, et surtout la région méditerranéenne. atteindre à une gestion durable des ressources en eau est un objectif global commun dans cette région.</w:t>
        <w:br/>
        <w:br/>
        <w:t>la gestion durable des ressources en eau dans le bassin versant de saf-saf est tenir comme une étude de cas d'un problème complexe qui nécessite une nouvelle approche de la gestion durable des ressources en eau. afin de gérer cette ressource il faut trouver un équilibre entre les besoins des personnes et la protection des ressources naturelles. ses ressources en eau sont renouvelables mais limitées, or les besoins ne cessent à croître en importance sous le double effet de la croissance démographique et de l'augmentation des besoins par habitant. ainsi, les milieux sont de plus en plus transformés par l'homme ce qui présente de nombreuses incidences sur l'eau, en quantité comme en qualité.</w:t>
        <w:br/>
        <w:br/>
        <w:t>le nouveau modèle conceptuel de gestion intégrée de l'eau est proposé dans pour la gestion de l'eau sur la base de la relation de cause-effet.</w:t>
        <w:br/>
        <w:br/>
        <w:t>ce travail a port le but de savoir comment établir les relations prévisibles à utiliser comme outils d'aide à la décision. le (dpsir) a été choisi comme un cadre bien établi pour développer les variables possibles en cinq catégories qui sont : les variables forces motrices, les variables de pression, variables de la qualité de l'eau, les variables d'impact et les variables réponse.</w:t>
        <w:br/>
        <w:br/>
        <w:t>les variables efficaces ont été caractérisées et arrangées en usant une analyse multicritères avec les réseaux de neurones artificiels (ann) et les avis des experts. les</w:t>
        <w:br/>
        <w:br/>
        <w:t>variables retenues ont été classées et organisées en utilisant les techniques exploratoires multivariées (acp et af).</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