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"Taxonomie, identification et marqueurs des pseudomonas de l'environnement general et hospitalier"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Boutefnouchet; Nafissa/ Université Badji Mokhtar/ De, Micco/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Provence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phénéthiques/ la variabilité / syringae/ </w:t>
            </w:r>
          </w:p>
        </w:tc>
      </w:tr>
    </w:tbl>
    <w:p>
      <w:pPr>
        <w:pStyle w:val="Heading3"/>
      </w:pPr>
      <w:r>
        <w:t>Résumé :</w:t>
      </w:r>
    </w:p>
    <w:p>
      <w:r>
        <w:t>L'étude d'un grand nombre de caractères phénétiques nous a permis d'apprécier la variabilité phénotypique au sein de l'espèce P.syringae.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