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Parametric study on human response to vibrations of box girder bridges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Megnounif, Abdellatif/ University Of Ottawa/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Ontario</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vibrations/  box girder bridges / </w:t>
            </w:r>
          </w:p>
        </w:tc>
      </w:tr>
    </w:tbl>
    <w:p>
      <w:pPr>
        <w:pStyle w:val="Heading3"/>
      </w:pPr>
      <w:r>
        <w:t>Résumé :</w:t>
      </w:r>
    </w:p>
    <w:p>
      <w:r>
        <w:t xml:space="preserve">Under a moving load a bridge produces deflections and stresses which differ significantly from the deflections and stresses caused by the same load when applied statically. the resulting dynamic deflections can cause discomfort to the pedestrians using the bridge since the human response is related to the acceleration or to the rate of change of acceleration. in the past, several analytical and experimental model studies have been undertaken to study the phenomenon of highway bridge vibrations. while human discomfort due to perceptible levels of vibration may not be as important in bridge design as human safety consideration, it is a critical factor in bridge serviceability limit and should gain attention accordingly. the literature indicates that researchers tend to place more emphasis on bridge response and behavior for safety consideration and hardly any work on the subject of human discomfort at serviceability. in general, the human comfort is related to the dominant mode type since the mode type is itself related to the acceleration. as a result, the human body reacts more to vibration of bridge with a torsional dominant mode than those with a flexural dominant mode. then, one of the major problems in human comfort study is to avoid this torsional dominant mode.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