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revêtements polyconstitués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Medjaldi; Abdelaziz/ Himour,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galvanisation au trempé/ composés intermétalliques fe-zn/ </w:t>
            </w:r>
          </w:p>
        </w:tc>
      </w:tr>
    </w:tbl>
    <w:p>
      <w:pPr>
        <w:pStyle w:val="Heading3"/>
      </w:pPr>
      <w:r>
        <w:t>Résumé :</w:t>
      </w:r>
    </w:p>
    <w:p>
      <w:r>
        <w:t>Les</w:t>
        <w:br/>
        <w:br/>
        <w:t>aciers ordinaires sont</w:t>
        <w:br/>
        <w:br/>
        <w:t>connus</w:t>
        <w:br/>
        <w:br/>
        <w:t>jadis</w:t>
        <w:br/>
        <w:br/>
        <w:t>par</w:t>
        <w:br/>
        <w:br/>
        <w:t>leur</w:t>
        <w:br/>
        <w:br/>
        <w:t>mauvais</w:t>
        <w:br/>
        <w:br/>
        <w:t>comportement</w:t>
        <w:br/>
        <w:br/>
        <w:t xml:space="preserve">électrochimique dans des environnements agressifs. De ce fait ils se voient  leur longévité </w:t>
        <w:br/>
        <w:br/>
        <w:t>diminuer de façon d’autant plus grande que l’agressivité du milieu est prononcée. Afin de</w:t>
        <w:br/>
        <w:br/>
        <w:t xml:space="preserve">pallier ce  problème, de nombreuses    méthodes de protection sont mises en œuvre.  Hormis </w:t>
        <w:br/>
        <w:br/>
        <w:t>les procédés déjà utilisés, ce travail de recherche se fixe comme objectif de tenter d’apporter</w:t>
        <w:br/>
        <w:br/>
        <w:t xml:space="preserve">des éléments de réponse nouveaux au problème posé par le biais d’un dépôt, par galvanisation </w:t>
        <w:br/>
        <w:br/>
        <w:t>au trempé à une température de 460°C, d'une couche de zinc à des temps  d’immersion de 5,</w:t>
        <w:br/>
        <w:br/>
        <w:t>10 et 15 min. Le substrat étant une tôle en  acier à  bas carbone ASTM A283M-98.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