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behaviour of soil surrounding buried pipes with an opening in the pipe wall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Taha; Benabdellah / University Of Sheffield             /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pipe wall/ behaviour of soil surrounding / </w:t>
            </w:r>
          </w:p>
        </w:tc>
      </w:tr>
    </w:tbl>
    <w:p>
      <w:pPr>
        <w:pStyle w:val="Heading3"/>
      </w:pPr>
      <w:r>
        <w:t>Résumé :</w:t>
      </w:r>
    </w:p>
    <w:p>
      <w:r>
        <w:t xml:space="preserve">The aim of the present wrk was to study the behaviour of soil surrounding ground structures such as drains with small cracks, open joints or holes in the structure wall. the motivation of such a study was to provide an understanding of the phenomenon of surrounding soil particles migration through the opening caused by water flow from the ground through the opening in the pipe wall or from the pipe into the ground. </w:t>
        <w:br/>
        <w:br/>
        <w:t xml:space="preserve">a testing apparatus has been developed to simulate the process of particle migration through the pipe opening. a series of infiltration tests on three different gradings of sands namely medium to fine, gap-graded and well graded was conducted to examine the effect of unidirectional flow and three types of cyclic reverse flow on the behaviour of the soil surrounding the opening. a wide range of opening sizes was employed. the soil loss which passed through the gap sizes was collected and recorded as a function of the time or number of cycles.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