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 of strip footings on elastic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southampton/ Achour, B /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poisson/ elastic foundations/ </w:t>
            </w:r>
          </w:p>
        </w:tc>
      </w:tr>
    </w:tbl>
    <w:p>
      <w:pPr>
        <w:pStyle w:val="Heading3"/>
      </w:pPr>
      <w:r>
        <w:t>Résumé :</w:t>
      </w:r>
    </w:p>
    <w:p>
      <w:r>
        <w:t>This work was carried out in order to compare thebehaviour of double footings at different spacings.for this purpose, many programmes were written to compute stresses and displacements at different pointsin the medium.to aid the investigation, contours of stresses and displacements were drawn. some results were compared with available analytical solutions to prove that the programmes were working correctly. it was found that when the spacing is equal to ph the double footing seemed to behave as asingle one, particularly in the rigid case.the comparison was made by assuming the shear modulus (g) and the loading (p) both equal to unity, and the poisson's ratio equals to one-half. due to the problems of modelling theoretically infinite stresses at the edges of a rigid footing, an approximate method was used. in practice, soils will yield under high stresses, and therefore the edge stresses were limited by the cohesive shear strength of the material.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