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ruta chalepensis et de beta vulgaris sur le métabolisme des carbohydrates et quelques enzymes du système  antioxydant chez des rats wistar diabétiques recevant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Hamdiken; Malika/ Kechrid, Zine/ Univesite badji mokhtar/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diabete/ béta vulgaris/ ruta chalepensis/ </w:t>
            </w:r>
          </w:p>
        </w:tc>
      </w:tr>
    </w:tbl>
    <w:p>
      <w:pPr>
        <w:pStyle w:val="Heading3"/>
      </w:pPr>
      <w:r>
        <w:t>Résumé :</w:t>
      </w:r>
    </w:p>
    <w:p>
      <w:r>
        <w:t>Au cours du diabète, le stress oxydant et les anomalies lipidiques sont fréquents, prononcés et représentent des facteurs importants en cause dans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