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Diversité  ectoparasitaire et parasitisme chez trois espèces du genre Diplodus ( Teleostéen - sparidae ) pêchées dans le littoral Est Algérien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Bouallag; Chahineze/ Bensouilah, M./ Université Badji Mokhtar/ </w:t>
            </w:r>
          </w:p>
        </w:tc>
      </w:tr>
      <w:tr>
        <w:trPr>
          <w:trHeight w:val="567"/>
        </w:trPr>
        <w:tc>
          <w:tcPr>
            <w:tcW w:type="dxa" w:w="3000"/>
          </w:tcPr>
          <w:p>
            <w:r>
              <w:t>Nombre de Pages</w:t>
            </w:r>
          </w:p>
        </w:tc>
        <w:tc>
          <w:tcPr>
            <w:tcW w:type="dxa" w:w="7000"/>
          </w:tcPr>
          <w:p>
            <w:r>
              <w:t>141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parasitisme/ spécificité parasitaire/ Mer ouverte/ </w:t>
            </w:r>
          </w:p>
        </w:tc>
      </w:tr>
    </w:tbl>
    <w:p>
      <w:pPr>
        <w:pStyle w:val="Heading3"/>
      </w:pPr>
      <w:r>
        <w:t>Résumé :</w:t>
      </w:r>
    </w:p>
    <w:p>
      <w:r>
        <w:t>L'examen des branchies de 3627 poissons appartenant à 30 espèces pêchés dans le littoral Est Algérien, nous a permis de recenser 3607 Copépodes parasites appartenant à 33 espèces. L'évaluation de la diversité parasitaire par le calcul des indices de diversité montre que les valeurs des différents poissons restent faibles. La richesse spécifique la plus importante caractérise l'espèce P.erythrinus. L'analyse de la richesse spécifique, selon certaines variables écologiques, biologiques de l'ensemble des hôtes montre que ce sont les espèces omnivores, migratrices avec changement des milieux, grégaires benthiques qui présentent la richesse parasitaire la plus importante, les différences entre la richesse spécifique moyenne (MSR) de toutes ces variables est statistiquement significative selon le test Kruskal Walis en utilisant le logiciel Sigma Stat. L'étude de la spécificité parasitaire montre que les différentes espèces parasites ne présentent pas la même spécificité pour leur hôte, sur les 33 espèces Copépodes recensées, 25 exploitent une seule espèce-hôte. En effet seulement quatre espèces n’infestent que deux, cependant cinq espèces parasites infestent plus de deux espèces de poisson. Les valeurs moyennes de STD et de Var STD varient d'une espèce parasite à l'autre. Pour chaque espèce parasite nous constatons l'existence de Corrélation positive entre les variances des distances taxonomiques des hôtes et les indices parasitaires. Le calcul des indices épidémiologiques montre une hétérogénéité dans la distribution d'une espèce hôte à l'autre, d'une saison à l'autre d'un site à l'autre et d'une classe de taille à l'autre.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