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des crues de référence pour les plans de prévention du risque inondation cas du bassin versant du saf saf ne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Maou; Amel/ Laroussi, Beloulou/ Université Badji Mokhtar/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correlation/ bassin du saf saf/ risque d'inondation/ analyse fréquentielle/ crue de référence/ </w:t>
            </w:r>
          </w:p>
        </w:tc>
      </w:tr>
    </w:tbl>
    <w:p>
      <w:pPr>
        <w:pStyle w:val="Heading3"/>
      </w:pPr>
      <w:r>
        <w:t>Résumé :</w:t>
      </w:r>
    </w:p>
    <w:p>
      <w:r>
        <w:t>Dans le bassin de l'oued saf saf, les inondations, liées aux intempéries, constituent le risque naturel le plus redouté par les riverains. ces inondations deviennent de plus en plus insupportables tant sur le plan humain que matériel. au fil des années, les pouvoirs publics ont réalisé quelques aménagements à caractère structurel pour la protection des enjeux dans les communes les plus vulnérables. néanmoins, les dommages occasionnés par les intempéries de novembre 2004 et février 2011 ont fait apparaître les effets réduits des techniques mises en œuvre et ont, par conséquent, remis en question l'efficacité et le bienfondé de ces mesures. l'étude fréquentielle, l'analyse de corrélation par la méthode des moindres carrés des pluies et des débits extrêmes enregistrés à la station de khémakhem et le traitement des grandes crues historiques ont permis de développer quelques modèles empiriques pour extrapoler, aux bassins dépourvus de tout équipement hydrométrique, les résultants du calcul des crues de projet (crues décennale, cinquantennale et centennale) et de définir les crues de référence pour l'élaboration des plans de prévention du risque inondation (ppri) pour les communes les plus vulnérables dans la zone d'étude. ces résultats peuvent alimenter un modèle hydraulique des écoulements à ciel ouvert permettant de fournir, pour tout profil, la largeur de la zone submergée, les cotes de submersion, la répartition des débits et des vitesses d'écoulement; informations requises pour la cartographie du risque inondation telle que définie dans les ppri. ces documents, constituant une servitude d'utilité publique, permettent de répondre, à la fois, à l'exigence de protection et de prévention et à la préservation des enjeux dans les plaines d'inondation dans le cadre du développement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