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Importance des proprietes physico chimiques du sol et la nature du climat sur la valeur alimentaire de la grenade fruit du grenadier punica  granatum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Hassen; Anissa/ Université Badji Mokhtar/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antioxydant/ polyphénol/ vitamine c/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Généralement la consommation des fruits de grenade s'oriente plus sur </w:t>
        <w:br/>
        <w:br/>
        <w:t>la meilleure qualité gustative, mais lors de cette étude il est question d'établir une liaison entre</w:t>
        <w:br/>
        <w:br/>
        <w:t xml:space="preserve">le taux élevé d'antioxydant (qui ont un effet bénéfique dans la prévention de certaines </w:t>
        <w:br/>
        <w:br/>
        <w:t>maladies dont les cancers) et de quelques paramètres chimiques du fruit, à savoir, le taux de</w:t>
        <w:br/>
        <w:br/>
        <w:t>glucide, d'acidité titrable ainsi que la vitamine 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