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betons legers d'argile expansée pour des éléments armés préfabriqués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Benkhalfa; B/ Université Badji Mokhtar/ Medvedev, D/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Anaaba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argile/ bétons/ éléments armés / préfabriqués/ </w:t>
            </w:r>
          </w:p>
        </w:tc>
      </w:tr>
    </w:tbl>
    <w:p>
      <w:pPr>
        <w:pStyle w:val="Heading3"/>
      </w:pPr>
      <w:r>
        <w:t>Résumé :</w:t>
      </w:r>
    </w:p>
    <w:p>
      <w:r>
        <w:t>Dans le cas du béton léger, l'adhérence entre îles granulat et le mortier formant matrice ne détermine pas la résistance du béton puisqu'en ces de changement ce sont 1cs gran5 relativement faibles qui se fendent avant que leur adhérence à 14 matrice puisse être rompue. d'après les essais réalisés par la majorité des chercheurs, il s'avère que les granulats légers arrondis et à surface fermée et lisse sont souvent préférables. avec ces granulats, et pour les mêmes résistances réalises ou plus grande avec des  granulats anguleux, ou allongés, le rapport ' eau libre ciment requis peut être moins élevé pour la même ouvrabilité et la même teneur en ciment. ais nous. avons remarqué qu'avec des granulats arrondis ( presque sphériques), il y a un grand risque ségrégation ( les granulats montent = la surface des composants du béton frais pendant la vibration ou le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