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Aspects of variable amplitude in fatigue monitoring gauges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Ramoul; Djamel/ University of Manchester/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variable/ variable amplitude/ fatigue monitoring/ </w:t>
            </w:r>
          </w:p>
        </w:tc>
      </w:tr>
    </w:tbl>
    <w:p>
      <w:pPr>
        <w:pStyle w:val="Heading3"/>
      </w:pPr>
      <w:r>
        <w:t>Résumé :</w:t>
      </w:r>
    </w:p>
    <w:p>
      <w:r>
        <w:t xml:space="preserve">Fatigue monitoring systems can be used to improve safety and help in maintaining a wide range of engineering structures that can be subjected to fatigue. </w:t>
        <w:br/>
        <w:br/>
        <w:t xml:space="preserve">the fatigue monitoring bureau has developed three types of gauges (integral, shim, and tab gauges), which can be manufactured at low cost, and used on both new and existing structures. the gauges crack at a rate proportional to fatigue damage experienced and can be matched to design behaviour of welded joints. the work presented in this dissertation investigates several points of particular interest in the behaviour of fmb gauges, such as mean stress and residual stresseffects, as well as load interaction in variable amplitude stress loadings. recommendations are made for application of the results for assessing fatigue damage in structural parts to which the fmb gauges are attached.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