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sous irradiation du compose quaternaire cu2znsns4 couche absorbante dansl les cellules solaIires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Khoualed; Mahacene/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irradiation aux ions lourds/ spray pyrolyse/ cellules photovoltaïques/ </w:t>
            </w:r>
          </w:p>
        </w:tc>
      </w:tr>
    </w:tbl>
    <w:p>
      <w:pPr>
        <w:pStyle w:val="Heading3"/>
      </w:pPr>
      <w:r>
        <w:t>Résumé :</w:t>
      </w:r>
    </w:p>
    <w:p>
      <w:r>
        <w:t>Des couches minces de Cu2ZnSnS4 (CZTS) déposées sur un substrat de verre ont été élaborées</w:t>
        <w:br/>
        <w:br/>
        <w:t>par la technique de spray pyrolyse. Afin d’étudier l’influence de l’irradiation par des ions lourds</w:t>
        <w:br/>
        <w:br/>
        <w:t>de haute énergie sur les propriétés de ce matériau, des couches minces de CZTS ont été irradiées</w:t>
        <w:br/>
        <w:br/>
        <w:t>dans le régime des pertes d’énergie électroniques par des ions Xe de 200 MeV à différentes</w:t>
        <w:br/>
        <w:br/>
        <w:t>fluences.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