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Boundary element method for fatigue crack growth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Karabaghli;  Abderrahmane/ University of Manchester/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fatigue/ elément/ </w:t>
            </w:r>
          </w:p>
        </w:tc>
      </w:tr>
    </w:tbl>
    <w:p>
      <w:pPr>
        <w:pStyle w:val="Heading3"/>
      </w:pPr>
      <w:r>
        <w:t>Résumé :</w:t>
      </w:r>
    </w:p>
    <w:p>
      <w:r>
        <w:t xml:space="preserve">Beasy, the boundary element analysis system, is a package for the numerical analysis of physical problems using the boundary element method. </w:t>
        <w:br/>
        <w:br/>
        <w:t xml:space="preserve">the advantages, disadvantages and coupling of the boundary element method with other numerical methods have been briefly described. the main points of beasy have been also explained in detail. beasy has been applied to a two-dimensional axisymmetric stress analysis problem. the results obtained are compared with the known solution. beasy is also applied to solve a two-dimensional axisymmetric linear elastic fracture mechanics problem. both methods, displacement and stress extrapolations are used to determine stress intensity factors. the results obtained from these methods are compared with the analytical solution. finally, fatigue crack growth of a two notched specimens under a uniform tensile stress (constant amplitude) is analysed by beasy. crack growth rate is a function of the stress range. stress intensity factor values are used to determine the curves of the number of cycles versus crack propagation for the specimens analysed.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