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du comportement du batiment avec le premier niveau flexible sous l'action des forces sismiques comparativement a des batiments rigides et flexibles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Merabti; Saci/ Université Badji Mokhtar/ Stoianov, 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flexible/ comportement du batiment / forces sismiques / comparativement/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 L'objet de notre travail a été, d'une part, l'étude du comportement antisismique en phase élastique d'un bâtiment avec le premier niveau flexible comparativement à deux modèles de bâtiments classiques (rigide et flexible) et d'autre part, son comportement en phase post-élastique . pour cela, nous avons utilise la méthode spectrale qui constitue actuellement la base théorique de la plupart des règlements antisismiques malgré ses insuffisances . en effet, cette méthode ne décrit pas le processus de vibration de la construction et donne une évaluation par excès des forces sismiques et des déformations provoquées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