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du batiment avec le premier niveau flexible sous l'action des forces sismiques comparativement a des batiments rigides et flexibles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Merabti; Saci/ Université Badji Mokhtar/ Stoianov,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flexible/ comportement du bâtiment/ forces sismiques / comparativement/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L'objet de notre travail a été, d'une part, l'étude du comportement antisismique en phase élastique d'un bâtiment avec le premier niveau flexible comparativement à deux modèles de bâtiments classiques (rigide et flexible) et d'autre part, son comportement en phase post-élastique . pour cela, nous avons utilise la méthode spectrale qui constitue actuellement la base théorique de la plupart des règlements antisismiques malgré ses insuffisances . en effet, cette méthode ne décrit pas le processus de vibration de la construction et donne une évaluation par excès des forces sismiques et des déformations provoquées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