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en fatigue cyclique d’un composite sandwich à âme en nid d’abeilles en flexion trois points et quatre points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Said; Ahcène/ Bey,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endommagement/ fatigue/ composites sandwiches/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a pour objectif l’étude du comportement mécanique en flexion trois-points </w:t>
        <w:br/>
        <w:br/>
        <w:t xml:space="preserve">et quatre-points d’un matériau composite sandwich à âme en nid d’abeilles. A cet effet, un </w:t>
        <w:br/>
        <w:br/>
        <w:t>travail expérimental a été réalisé comprenant des essais en flexion statique trois-points et</w:t>
        <w:br/>
        <w:br/>
        <w:t>quatre-points, des essais de</w:t>
        <w:br/>
        <w:br/>
        <w:t xml:space="preserve">chargement différents et une fréquence constante de 5 Hz et enfin des essais de fatigue en </w:t>
        <w:br/>
        <w:br/>
        <w:t>flexion trois-points pour un seul niveau de chargement et trois fréquences différentes.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