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sur la population de gambusia affinis dans la région d'annaba et el tarf aspects biométrique et biochimique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Denna; Abir/ Chouahda, Salima/ Université Badji Mokhtar/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pollution/ croissance/ indices métriques/ </w:t>
            </w:r>
          </w:p>
        </w:tc>
      </w:tr>
    </w:tbl>
    <w:p>
      <w:pPr>
        <w:pStyle w:val="Heading3"/>
      </w:pPr>
      <w:r>
        <w:t>Résumé :</w:t>
      </w:r>
    </w:p>
    <w:p>
      <w:r>
        <w:t>La pollution est un problème majeur qui affecte l'environnement aquatique, en particulier les milieux d'eau douce dans le monde entier, qu'elle soit d'origine naturelle ou anthropique. L’objectif de ce travail consiste à étudier l’évaluation de la qualité de l’eau en utilisant un poisson non ciblé Gambusia affinis collecté au niveau de trois sites d’étude du Nord-Est de l'Algérie, qui diffèrent par leur degré et leur type de charge de contamination</w:t>
        <w:br/>
        <w:br/>
        <w:t>(Oued Messida, un site de référence, et deux autres sites proches d'activités anthropiques, El Karma et Sidi Brahim), durant le début et la fin de la période de reproduction et repos sexuel, en mesurant la croissance (taille et poids totaux), les indices métriques (rapport gonado-somatique, rapport hépato-somatiques et indice de condition) et les caractéristiques reproductif, ainsi que la réponse des biomarqueurs du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