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antimicrobienne et de l’effet génotoxique, in vitro, de molécules chimiques néosynthétisées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Becheker; Imène/ Berredjem, Hajira/ Unversité Badji Mokhtar/ </w:t>
            </w:r>
          </w:p>
        </w:tc>
      </w:tr>
      <w:tr>
        <w:trPr>
          <w:trHeight w:val="567"/>
        </w:trPr>
        <w:tc>
          <w:tcPr>
            <w:tcW w:type="dxa" w:w="3000"/>
          </w:tcPr>
          <w:p>
            <w:r>
              <w:t>Nombre de Pages</w:t>
            </w:r>
          </w:p>
        </w:tc>
        <w:tc>
          <w:tcPr>
            <w:tcW w:type="dxa" w:w="7000"/>
          </w:tcPr>
          <w:p>
            <w:r>
              <w:t>209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cytotoxicité/ activité antimicrobienne/ génotoxicité/ </w:t>
            </w:r>
          </w:p>
        </w:tc>
      </w:tr>
    </w:tbl>
    <w:p>
      <w:pPr>
        <w:pStyle w:val="Heading3"/>
      </w:pPr>
      <w:r>
        <w:t>Résumé :</w:t>
      </w:r>
    </w:p>
    <w:p>
      <w:r>
        <w:t>L'augmentation et la dissémination rapide de la résistance bactériennes aux antibiotiques sont probablement l'un des problèmes de santé publique les plus inquiétants. La synthèse de nouvelles molécules antibactériennes, constitue une des alternatives actuelles pour pallier aux insuffisances des antibiotiques disponibles. Le but de notre travail est d'évaluer l'activité antibactérienne de deux séries de sulfamides néosynthétisées 1a-d et 2a-f, ainsi que leur potentiel cytotoxique et génotoxique.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