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 et applications aux systèmes d’équations différentielles et d'équations aux echelles de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Meramria; Meissoun/ Boukerrioua, Khaled/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échelle de temps/ intgalité de gronwall/ stabilité pratique/ </w:t>
            </w:r>
          </w:p>
        </w:tc>
      </w:tr>
    </w:tbl>
    <w:p>
      <w:pPr>
        <w:pStyle w:val="Heading3"/>
      </w:pPr>
      <w:r>
        <w:t>Résumé :</w:t>
      </w:r>
    </w:p>
    <w:p>
      <w:r>
        <w:t>Il est largement connu que la théorie des inégalités intégrales présente un role fondannental dans le développement différentielles non linéaires et intégrales,elles peésentent un outil important dans l'étude de l'exicstence.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