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 la rigidite en flexion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Beghdadi; Laid/ Chaker / L'université Des  Houari Boumedienne/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compression/ flexion/ </w:t>
            </w:r>
          </w:p>
        </w:tc>
      </w:tr>
    </w:tbl>
    <w:p>
      <w:pPr>
        <w:pStyle w:val="Heading3"/>
      </w:pPr>
      <w:r>
        <w:t>Résumé :</w:t>
      </w:r>
    </w:p>
    <w:p>
      <w:r>
        <w:t xml:space="preserve">L'évolution actuelle de la réglementation vers le calcul aux états limites et les progrès effectués dans le domaine du calcul non linéaire font que l'on doive tenir compte du comportement réel du matériau béton armé. des essais ont été effectués sur des poteaux courts soumis à des efforts de compression excentrée 3; la valeur de la rigidité et des déplacements est analysée en vue de montrer l'influence de différents paramètres : présence de l'effort normal, valeur de l'excentricité, pourcentage d'acier. les résultats sont de plus comparés à ceux donnés par les normes : ccba 68 , aci , stas, ce b. des essais de poutres effectués par le ceb sont aussi exploitése une approche originale de calcul de structures est proposée, careëetérisant le comportement par un facteur unique  le module conventionnel des detormations. des applications sont faites pour des calculs statiques et dynamiques de structures,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