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analyse des méthodes d'apprentissage pour les données sémantiques à grande échelle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Boughareb; Rima/ Hassina, Seridi/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knowledge graph/ recommender systems/ knowledge representation/ </w:t>
            </w:r>
          </w:p>
        </w:tc>
      </w:tr>
    </w:tbl>
    <w:p>
      <w:pPr>
        <w:pStyle w:val="Heading3"/>
      </w:pPr>
      <w:r>
        <w:t>Résumé :</w:t>
      </w:r>
    </w:p>
    <w:p>
      <w:r>
        <w:t>The expansion of the World Wide Web (WWW) has significantly changed how people produce and consume information. However, it is evolving beyond being a simple web of documents that only people can understand. With the advent of the Semantic Web, the web's capabilities have been further enhanced by moving from a web of interconnected web pages primarily intended for human consumption to a more sophisticated web of Linked Data that is both machine-readable and human-understandable. This evolution has unlocked new possibilities for knowledge integration, discovery, and automation particularly since Tim Berners-Lee, the mind behind the Web, introduced the Linked Open Data (LOD) Principles. The primary objective of the LOD initiative is to promote the open sharing and interlinking of diverse datasets.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