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Antibio-résistance des baciles à gram négatif non fermentants isolés au niveau des services deréanimation-chu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Meriem/ Université Badji Mokhtar/ Djahoudi, Abdelghani/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tab.,fg.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Pseudomonas aeruginosa/ acinetobacter baumannii/ résistances aux antibiotiques/ </w:t>
            </w:r>
          </w:p>
        </w:tc>
      </w:tr>
    </w:tbl>
    <w:p>
      <w:pPr>
        <w:pStyle w:val="Heading3"/>
      </w:pPr>
      <w:r>
        <w:t>Résumé :</w:t>
      </w:r>
    </w:p>
    <w:p>
      <w:r>
        <w:t>La résistance aux antibiotiques chez les bacilles à Gram négatif non fermentants est un problème de santé majeur dans les services de réanimation, et particulièrement la résistance aux carbapénèmes. Cette résistance est un problème récent et croissant dans de nombreux pays à travers le monde. Le but de notre travail a été d’étudier la résistance aux antibiotiques et leurs supports génétique sur une série de 64 souches, collectées de Novembre 2010 à Septembre 2011 dans les services de réanimation du CHU d’ Annaba, Algérie. L’identification des souches a été effectuée selon deux techniques : Api20NE et MALDI-TOF MS. L'antibiogramme a été réalisé par méthode de diffusion d’antibiotique sur gélose et les concentrations minimales inhibitrices par Etest. Les mécanismes de résistances aux antibiotiques ont été identifiés par techniques de biologie moléculaire (PCR, séquençage) et on a utilisé l’Ultraflex (MALDI-TOF) pour la détection rapide des carbapénèmases. Parmi les 64 souches isolés (30 A. baumannii et 34 P. aeruginosa), 24 souches A. baumannii et 17 souches P. aeruginosa ont été résistantes à l’imipénème avec des MICS élevées (12 à &gt; 32 Ug/ml). Parmi les A. baumannii, 22 possèdent une carbapénèmase de type oxacillinase blaOXA- 23, un isolat possède blaOXA-58 et un autre isolat possède les deux gènes au même temps. Et pour les BLSE, 13 possèdent le gène TEM-128. Concernant, les souches de P. aeruginosa, 14 portes le gène blaVIM-2, pour la première fois rapporté en Algérie, et positif au test de synergie EDTA- imipénème. Ces souches affiche nouvelle cassette d’intégron classe I portant le gène VIM-2 et comprend également le gène aadB et aacA4. Pour les BLSE seule trois souches étaient positifs au gène SHV-2. On rapport une prévalence élevée de la résistance aux antibiotiques et particulièrement aux carbapénèmes. Ces résultats soulignent la diffusion des carbapénèmase de type oxacillinase chez A. baumannii, et les métallo-B-lactamase des chez P. aeruginosa. Ce qui incite la mise en oeuvre de politique de surveillance de la résistance aux antibiotiques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