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colistine en association dans le traitement des infections à bacilles à Gram négatif multirésistants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Saida/ Université Badji Mokhtar/ Djahoudi, Abdelghani/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antibio-résistance/ bacillesà Gram négatif/ associations/ </w:t>
            </w:r>
          </w:p>
        </w:tc>
      </w:tr>
    </w:tbl>
    <w:p>
      <w:pPr>
        <w:pStyle w:val="Heading3"/>
      </w:pPr>
      <w:r>
        <w:t>Résumé :</w:t>
      </w:r>
    </w:p>
    <w:p>
      <w:r>
        <w:t>Sur une période de cinq années 143 souchesq de bacilles à gram négatif multirésistants de 380 mis en cause dans des infections. Ces souches sont isolées de 900 prélèvements pris chez des patient hospitalisés dans différents services du CHU Annaba.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