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experimentale du comportement mecanique en torsion de poutres en bois lamelle-colle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Nafa; Zahreddine/ Université Badji Mokhtar/ Jodin, P/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bois/ comportement mécanique/ </w:t>
            </w:r>
          </w:p>
        </w:tc>
      </w:tr>
    </w:tbl>
    <w:p>
      <w:pPr>
        <w:pStyle w:val="Heading3"/>
      </w:pPr>
      <w:r>
        <w:t>Résumé :</w:t>
      </w:r>
    </w:p>
    <w:p>
      <w:r>
        <w:t xml:space="preserve">Le bois est le plus ancien des matériaux à être utilisé par l'homme dans la construction, malgré cela il est resté le moins connu. ce retard est dû essentiellement à la complexité de sa structure mais aussi à la faiblesse de ses caractéristiques de résistance. néanmoins, la réunion en un seul matériau de tout un ensemble de propriétés en fait un matériau de choix et pousse l'homme à inventer d'autres formes d'utilisation. </w:t>
        <w:br/>
        <w:br/>
        <w:t xml:space="preserve">la technique du lamellé-collé vise à atténuer les effets dus aux défauts du bois et à obtenir des éléments de structure de dimensions et de portées importantes ct de formes variées. les produits lamellés-collés sont ainsi utilisés dans des domaines très divers : structure de bâtiments, coques de bateaux de plaisance, skis. </w:t>
        <w:br/>
        <w:br/>
        <w:t xml:space="preserve">le bois est alors l'objet de diverses sollicitations : impacts, charges cycliques, charges constantes de longue durée... ces efforts peuvent être appliqués séparément ou combinés entre eux. l'utilisation rationnelle de ce matériau exige alors une bonne connaissance de son comportement vis à vis des différentes actions. </w:t>
        <w:br/>
        <w:br/>
        <w:t xml:space="preserve">dans ce travail, on s'est fixé comme objectif l'étude expérimentale de la torsion des poutres en bois lamellé-coilé. le premier chapitre est consacré à l'étude bibliographique de la structure, nous y analysons le bois, la complexité de sa structure interne, son comportement élastique, viscoélastique et cyclique ainsi que l'influence des différents paramètres physico-chimiques sur ce comportement. </w:t>
        <w:br/>
        <w:br/>
        <w:t xml:space="preserve">le deuxième chapitre traite la torsion, nous y présentons la théorie de la torsion uniforme de saint-venant, et particulièrement, la torsion des barres de section rectangulaire, par la suite, nous y étudions la torsion d'une barre anisotrope de section rectangulaire, </w:t>
        <w:br/>
        <w:br/>
        <w:t xml:space="preserve">l'étude expérimentale est détaillée dans îe troisième chapitre., celui-ci comporte la description détaillée des différents bancs d'essai mis au point ainsi que l'instrumentation qui leurs a été associée. les étapes de fabrication des éprouvettes utilisées, et les programmes d'essais réalisés sont égnlement exposés. enfin, la méthode de dépouillement et le principe de mesure des différentes caractéristiques sont discutés.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