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de la repartition des contraintes dynamiques sous une fondation vibrante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Sahal; N/ Université Badji Mokhtar/ Boumekik, A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fondation/ contraintes/ </w:t>
            </w:r>
          </w:p>
        </w:tc>
      </w:tr>
    </w:tbl>
    <w:p>
      <w:pPr>
        <w:pStyle w:val="Heading3"/>
      </w:pPr>
      <w:r>
        <w:t>Résumé :</w:t>
      </w:r>
    </w:p>
    <w:p>
      <w:r>
        <w:br/>
        <w:br/>
        <w:t xml:space="preserve"> la transmission au sol des vibrations provenant d’une fondation rigide pesante, posée sur un sol viscoélastique non homogène limité par un substratum, et soumise à une sollicitation verticale. L’influence de la non homogénéité du sol ayant un module de cisaillement variable avec la profondeur sur l’amplitude des déplacements y est particulièrement analysée.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