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frequentielle des bactéries responsables des infections septicemiques chez les enfants dans la region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Labid; Asma/ Université Badji Mokhtar/ Gacemi-Kirane,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annaba/ BLSE/ Sépticémie/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étude est de déterminer le taux de mortalité de mortalitéde septicémie, des entérobactéries multirésitantes, ainsi que leur supports génétiques chez des enfants septcémiques.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