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frequentielle des bactéries responsables des infections septicemiques chez les enfants dans la region d'ANNABA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Labid; Asma/ Université Badji Mokhtar/ Gacemi-Kirane, Djamila/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Bibliogr.- 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annaba/ BLSE/ Sépticémie/ </w:t>
            </w:r>
          </w:p>
        </w:tc>
      </w:tr>
    </w:tbl>
    <w:p>
      <w:pPr>
        <w:pStyle w:val="Heading3"/>
      </w:pPr>
      <w:r>
        <w:t>Résumé :</w:t>
      </w:r>
    </w:p>
    <w:p>
      <w:r>
        <w:t>Le but de cette étude est de déterminer le taux de mortalité de mortalitéde septicémie, des entérobactéries multirésitantes, ainsi que leur supports génétiques chez des enfants septcémiques.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