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l'évolution de la charge microbienne au cours de l'épuration dans une station pilote wwg témacine touggourt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Hamaidi; Abderrazek/ Djeribi, Ryad/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phytoépuration/ les eaux usées urbaines/ la technique des wastewater gardens / </w:t>
            </w:r>
          </w:p>
        </w:tc>
      </w:tr>
    </w:tbl>
    <w:p>
      <w:pPr>
        <w:pStyle w:val="Heading3"/>
      </w:pPr>
      <w:r>
        <w:t>Résumé :</w:t>
      </w:r>
    </w:p>
    <w:p>
      <w:r>
        <w:t>Les eaux usées étaient depuis l'antiquité une menace pour les populations, et persiste à l'époque contemporaine même, autant pour les êtres vivants, les écosystèmes que pour l'environnement. Ce souci perpétuel, non seulement pour les responsables locaux mais aussi les scientifiques, a favorisé un climat de concertation ; incitant les décideurs à investir et les chercheurs à pousser les études de manière à faire face à la problématique des eaux usées.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