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mouvements des terrains dans la région de souk ahras n e algérie influence de la nature des sols et de la sismicité       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Charef; Nouar/ Boumezbeur, Abderrahmane/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mouvement de terrain/ pression interstitielle/ angle de frottement/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croissant que connaît la région de Souk-Ahras est de plus en plus menacé par des mouvements de masses à la surface. La pérennité des ouvrages et en particulier les voies de communication sont menacées par ce phénomène, très répandu dans la région. Chaque année, les dommages causés par les glissements s'élèvent à des milliards de centimes. Ces mouvements de masses sont de nature variée, générée par des facteurs multiples qui traduisent la variabilité du comportement des matériaux en mouvement.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