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des mouvements des terrains dans la région de souk ahras n e algérie influence de la nature des sols et de la sismicité        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Charef; Nouar/ Boumezbeur, Abderrahmane/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mouvement de terrain/ pression interstitielle/ angle de frottement/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croissant que connaît la région de Souk-Ahras est de plus en plus menacé par des mouvements de masses à la surface. La pérennité des ouvrages et en particulier les voies de communication sont menacées par ce phénomène, très répandu dans la région. Chaque année, les dommages causés par les glissements s'élèvent à des milliards de centimes. Ces mouvements de masses sont de nature variée, générée par des facteurs multiples qui traduisent la variabilité du comportement des matériaux en mouvement.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