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nanoparticules hydroxy des applications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Kettaf; Sarra/ Université Badji Mokhtar/ Guerioune,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 actif/ hydroxyde de nickel/ oxyde de nickel/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nanostructurés à base d'hydroxyde et d’oxide de nickel Ni présentent un</w:t>
        <w:br/>
        <w:br/>
        <w:t>fort potentiel pour diverses applications en électronique, en magnétisme, en électrochimie, et</w:t>
        <w:br/>
        <w:br/>
        <w:t>en particulier en stockage d’énergie (supercondensateurs).</w:t>
        <w:br/>
        <w:br/>
        <w:t>Dans cette étude, dans une première étape, des matériaux nanostructurés à base</w:t>
        <w:br/>
        <w:br/>
        <w:t>d'hydroxyde de nickel Ni (OH)2 ont été synthétisés par une méthode hydrothermique simple</w:t>
        <w:br/>
        <w:br/>
        <w:t>et peu coûteuse en variant le temps et la température de croissance avec et sans tensioactif</w:t>
        <w:br/>
        <w:br/>
        <w:t>SDS. La diffraction des rayons X, la spectroscopie Raman et l'analyse par microscopie</w:t>
        <w:br/>
        <w:br/>
        <w:t>électronique à balayage à émission de champ ont confirmé la formation de la phase désirée</w:t>
        <w:br/>
        <w:br/>
        <w:t>dans une morphologie de nanoparticules sphériques avec un diamètre moyen allant de 8 à 27</w:t>
        <w:br/>
        <w:br/>
        <w:t>nm.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