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optimisation par l'analyse numérique de l'impact des limitations physiques dans les systèmes de transmission multiplexé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Djeghab; Laid/ Université Badji Mokhtar/ Hamaizi,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 optique/ les ondes chirpées/ les solitons/ </w:t>
            </w:r>
          </w:p>
        </w:tc>
      </w:tr>
    </w:tbl>
    <w:p>
      <w:pPr>
        <w:pStyle w:val="Heading3"/>
      </w:pPr>
      <w:r>
        <w:t>Résumé :</w:t>
      </w:r>
    </w:p>
    <w:p>
      <w:r>
        <w:t>La propagation des impulsions lumineuses de durée de quelques femtoseconde dans une fibre optique monomode modélisée par l’équation de Schr?dinger non-linéaire d’ordre supérieur constitue un sujet de recherche important en particulier dans le domaine des télécommunications optiques. Ce modèle représente une extension de l'équation de Schr?dinger non-linéaire cubique dans laquelle sont inclus divers effets non-linéaires et</w:t>
        <w:br/>
        <w:br/>
        <w:t xml:space="preserve">dispersifs d’ordre élevé.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