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l'etude de la formulation et de la caracterisation des betons de sable a base de laitiers de hauts fourneaux d'el-hadjar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Achoura; Djamel/ Université Badji Mokhtar/ Redjel, Bachir/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base de laitiers / betons de sable / </w:t>
            </w:r>
          </w:p>
        </w:tc>
      </w:tr>
    </w:tbl>
    <w:p>
      <w:pPr>
        <w:pStyle w:val="Heading3"/>
      </w:pPr>
      <w:r>
        <w:t>Résumé :</w:t>
      </w:r>
    </w:p>
    <w:p>
      <w:r>
        <w:t xml:space="preserve">Conclusion les dégradations des mortiers et bétons sont essentiellement dues à la dégradation de la portlandite. la cinétique de cette réaction dépend de la nature et de la concentration des solutions sulfatique ou acidique. la dégradation est plus importante dans le cas de conservation en milieu acide. cette étude montre que ce phénomène est atténué lorsque une partie de ciment est remplacée par le laitier granulé. ceci s'explique par le fait que la matrice cimentaire dans le cas de mortiers à base de laitier granulé contient moins de chaux libre. les résistances mécaniques ne sont pas gravement affectées. si l'ensemble des bétons de sable à base de laitiers de haut fourneau d'el-hadjar présente de bonnes résistance aux sulfates, le bétons de sable tous laitier est le moins affecté par les solutions sulfatique.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