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investigation into the dynamic performance of steel panel radiators during heating cycle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University Of Sheffield             / Adref, Kamel /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the dynamic performance/ steel panel radiators / </w:t>
            </w:r>
          </w:p>
        </w:tc>
      </w:tr>
    </w:tbl>
    <w:p>
      <w:pPr>
        <w:pStyle w:val="Heading3"/>
      </w:pPr>
      <w:r>
        <w:t>Résumé :</w:t>
      </w:r>
    </w:p>
    <w:p>
      <w:r>
        <w:t xml:space="preserve">The dynamic behaviour of a range of single panel radiators with top bottom opposite end connections type was studied using a computer program in which the approximation method was employed in a linear analysis. the theoretical backround </w:t>
        <w:br/>
        <w:br/>
        <w:t xml:space="preserve">to the present computer program has been presented along with the program layout. </w:t>
        <w:br/>
        <w:br/>
        <w:t xml:space="preserve">the computer model may be used to simulate the measurement of transient heating of single panel radiators having a boiler supplying hot water as energy source , and ambient air as energy sink. the model determined the repartition of the temperatures of the component under analysis each time increment during heating mode. the model is based on experimental investigation carried out for differents conditions of supply temperature and mass flow rate at the laboratory of building science department. comparisons were made between the analytical and experimental results characterised by the mean temperature of the radiator. generally, good agreement was obtained between the computer outputs and the tests results. finally results were used to investigate the errors which are likely occur when the heat output of the radiator is measured using a surface mounted evaporative heat meter. à few recommandations for future work are presented.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