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comportement des joints des poutres en treillis métalliques de section rectangulaire creuse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Fayçal/ Université Badji Mokhtar/ Redjel, Bachir/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flexion/ recouvrement / section rectangulaire creuse/ poutre en treillis métallique/ joints/ </w:t>
            </w:r>
          </w:p>
        </w:tc>
      </w:tr>
    </w:tbl>
    <w:p>
      <w:pPr>
        <w:pStyle w:val="Heading3"/>
      </w:pPr>
      <w:r>
        <w:t>Résumé :</w:t>
      </w:r>
    </w:p>
    <w:p>
      <w:r>
        <w:t xml:space="preserve">Une étude expérimentale menée sur des joints de poutres métalliques en treillis de section rectangulaire creuse à parois mince a été conduite sur des poutres avec des joints à recouvrement complet et à échelle réelle, présentant les mêmes sections et une géométrie différente. une investigation numérique en 3d pour validation a été conjuguée, ce qui a permis de dresser un bilan comparatif du comportement. il apparait que l'angle de la diagonale avec la membrure et le mécanisme de déversement de la poutre sont à l'origine de la divergence entre les valeurs de la flèche qui sont supérieures à celles obtenues par l'analyse numérique. différents modèles ont été développés pour les modes de ruine associés aux joints avec recouvrement en rhs. ces modes dépendent de type de joint, des conditions de chargement et de divers paramètres géométriques.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