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l'entretoisement sur le comportement dynamique des ponts mixtes multipoutres ferroviaires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Abdelmeziane; Nabil/ Université Badji Mokhtar/ Djouini,  Chawki/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influence/ comportement dynamique/ multipoutres ferroviaires/ </w:t>
            </w:r>
          </w:p>
        </w:tc>
      </w:tr>
    </w:tbl>
    <w:p>
      <w:pPr>
        <w:pStyle w:val="Heading3"/>
      </w:pPr>
      <w:r>
        <w:t>Résumé :</w:t>
      </w:r>
    </w:p>
    <w:p>
      <w:r>
        <w:t>L'objectif de ce travail, est l'analyse dynamique, permettant d'appréhender le comportement dynamique d'un pont ferroviaire mixte multi-poutres. les entretoises intermédiaires ou les diaphragmes, jouent un rôle important dans la diffusion des efforts dans l'ensemble de l'ouvrage, et peuvent influencer la déformation. dans ce travail, nous nous proposons d'étudier l'influence de ces éléments sur le comportement en vibration libre, en sollicitation statique et dynamique de l'ouvrage. pour cela une simulation numérique aux éléments finis, à l'aide du programme de calculs ansys, a été utilisée. plusieurs configurations d'entretoisement ont été étudiées et comparées (10 cas).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