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 xml:space="preserve">  Modélisation numérique tridimensionnelle par éléments finis et différences finies d'un barrage en béton armé sous sollicitations statiques, dynamiques et thermiques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Adjadj; Mustapha/ Université Badji Mokhtar/ Meksaouine, Mohamed/ </w:t>
            </w:r>
          </w:p>
        </w:tc>
      </w:tr>
      <w:tr>
        <w:trPr>
          <w:trHeight w:val="567"/>
        </w:trPr>
        <w:tc>
          <w:tcPr>
            <w:tcW w:type="dxa" w:w="3000"/>
          </w:tcPr>
          <w:p>
            <w:r>
              <w:t>Nombre de Pages</w:t>
            </w:r>
          </w:p>
        </w:tc>
        <w:tc>
          <w:tcPr>
            <w:tcW w:type="dxa" w:w="7000"/>
          </w:tcPr>
          <w:p>
            <w:r>
              <w:t>105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 xml:space="preserve">Bibliogr.- Résumé en français , anglais et arabe  </w:t>
            </w:r>
          </w:p>
        </w:tc>
      </w:tr>
      <w:tr>
        <w:trPr>
          <w:trHeight w:val="567"/>
        </w:trPr>
        <w:tc>
          <w:tcPr>
            <w:tcW w:type="dxa" w:w="3000"/>
          </w:tcPr>
          <w:p>
            <w:r>
              <w:t>Diplôme</w:t>
            </w:r>
          </w:p>
        </w:tc>
        <w:tc>
          <w:tcPr>
            <w:tcW w:type="dxa" w:w="7000"/>
          </w:tcPr>
          <w:p>
            <w:r>
              <w:t>Dactorat</w:t>
            </w:r>
          </w:p>
        </w:tc>
      </w:tr>
      <w:tr>
        <w:trPr>
          <w:trHeight w:val="567"/>
        </w:trPr>
        <w:tc>
          <w:tcPr>
            <w:tcW w:type="dxa" w:w="3000"/>
          </w:tcPr>
          <w:p>
            <w:r>
              <w:t>Etablissement</w:t>
            </w:r>
          </w:p>
        </w:tc>
        <w:tc>
          <w:tcPr>
            <w:tcW w:type="dxa" w:w="7000"/>
          </w:tcPr>
          <w:p>
            <w:r>
              <w:t>Annaba</w:t>
            </w:r>
          </w:p>
        </w:tc>
      </w:tr>
      <w:tr>
        <w:trPr>
          <w:trHeight w:val="567"/>
        </w:trPr>
        <w:tc>
          <w:tcPr>
            <w:tcW w:type="dxa" w:w="3000"/>
          </w:tcPr>
          <w:p>
            <w:r>
              <w:t>Sujet(s)</w:t>
            </w:r>
          </w:p>
        </w:tc>
        <w:tc>
          <w:tcPr>
            <w:tcW w:type="dxa" w:w="7000"/>
          </w:tcPr>
          <w:p>
            <w:r>
              <w:t xml:space="preserve">éléments finis/ dynamique/  tridimensionnel/ midas gtsnx/ </w:t>
            </w:r>
          </w:p>
        </w:tc>
      </w:tr>
    </w:tbl>
    <w:p>
      <w:pPr>
        <w:pStyle w:val="Heading3"/>
      </w:pPr>
      <w:r>
        <w:t>Résumé :</w:t>
      </w:r>
    </w:p>
    <w:p>
      <w:r>
        <w:t>Cette thèse traite la réponse sismique des barrages en béton compacté au rouleau en interprétant le comportement de ces derniers, sous l'effet d'efforts statiques et dynamiques, appliqué à un cas réel : le barrage boussiaba. une modélisation numérique tridimensionnelle par éléments finis à été entreprise à l'aide du code de calcul midas gts-nx 2017. le modèle géométrique a été établi sur autocad en prenant en compte la géomorphologie réelle du terrain et du barrage existant puis exporté sur gts-nx. la sollicitation dynamique, à savoir le séisme, a été générée à partir de deux accélérogrammes respectivement de 0.25g et de 0.35g d'amplitude enregistrés au niveau de la région de mila soit à moins de 20 km du site du barrage. le chargement statique initial fait intervenir le poids propre, la poussée de l'eau ainsi que la poussée de la vase au pied du barrage. plusieurs points de référence ont été choisis sur le corps du barrage pour l'élude de différents paramètres adoptés. les résultats ainsi trouvés lors de l'analyse numérique dynamique présentent le comportement global du barrage durant les séismes sont satisfaisants et ne mettant pas en danger l'intégrité structurelle de l'ouvrage.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