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par la c r c méthode de la conduite de référence connue  au calcul de l'écoulement permanant uniforme pour des différents canaux ouverts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Boukhari; Imad/ Zeghadnia, Lotfi/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contribution/ référence/ conduite/ </w:t>
            </w:r>
          </w:p>
        </w:tc>
      </w:tr>
    </w:tbl>
    <w:p>
      <w:pPr>
        <w:pStyle w:val="Heading3"/>
      </w:pPr>
      <w:r>
        <w:t>Résumé :</w:t>
      </w:r>
    </w:p>
    <w:p>
      <w:r>
        <w:t>Le calcul des écoulements uniformes à surface libre a une place importante dans la pratique de l'ingénieur hydraulicien à titre d'exemples le system d'évacuation des eaux pluviales. un écoulement est considéré comme étant permanent uniforme lorsque ses caractéristiques sont invariables dans le temps et dans l'espace. ces caractéristiques sont la profondeur de l'écoulement | appelée aussi hauteur normale, l'aire de la section mouillée, la vitesse moyenne de l'écoulement et le débit. d'un point de vue pratique, la constance de la vitesse est généralement associée à la celle de la vitesse moyenne; mais de façon plus rigoureuse, cela signifie que l'écoulement est caractérisé par une vitesse constante en tout point de son domaine. en principe, toutes les formules d'écoulement en canal ouvert peuvent être utilisées dans la conception hydraulique des conduites d'égout. la formule de manning est la plus courante aujourd'hui. la formule de manning est utilisée pour sa simplicité de conception et sa prédiction généralement satisfaisante de la vitesse et du débit à différentes profondeurs d'écoulement.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