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théorique analyse bio informatique et activité biologique de nouvelles molécules synthétiques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Dekir; Ali/ Berrdjem, Malika/ Université Badji Mokhtar/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carbamoylation/ sulfamoylation docking moléculaire/ dynamique moléculaire/ </w:t>
            </w:r>
          </w:p>
        </w:tc>
      </w:tr>
    </w:tbl>
    <w:p>
      <w:pPr>
        <w:pStyle w:val="Heading3"/>
      </w:pPr>
      <w:r>
        <w:t>Résumé :</w:t>
      </w:r>
    </w:p>
    <w:p>
      <w:r>
        <w:t>Dans le domaine pharmaceutique, les N-acylsulfonamides occupent une place très appréciable, en tant qu'agents anticancéreux, antiinflammatoires, antibactériens, et inhibiteurs de virus de l'Hépatite C.</w:t>
        <w:br/>
        <w:br/>
        <w:t>L'objectif de notre travail consiste à la préparation de deux séries de nouveaux dérivés de carboxylsulfamide contenant le motif N-acylsulfonamides biologiquement actifs et puissants.</w:t>
        <w:br/>
        <w:br/>
        <w:t xml:space="preserve">Dans la première série, nous avons préparé les carboxylsulfonamides en deux étapes; carbamoylation avec des alcools tels que le méthoxyphénol et le cyclohexanol,  ensuite la sulfamoylation avec la morpholine en utilisant la bifonctionnalisation de l'isocynate de chlorosulfonyle ICS, qui est le réactif de base pour introduire le groupement N-acylsulfonamides.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