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Influence du cintpage sur l'etat des contraintes res!duelles superficielles dans l'acier inoxydable austenetique 18%-Cr - 9%NI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Merakeb; Monsieur nouredine / Université Badji Mokhtar/ Bouzabata, B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superficielles/ inoxydable/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Toutefois, elle nécessite une homegénéité de la structure, des lrains a586% fins et la connaissance des constantes élastiques raaiocristallograpniques fproportionnelles uu module de yourg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