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du cintpage sur l'etat des contraintes res!duelles superficielles dans l'acier inoxydable austenetique 18%-Cr - 9%NI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Merakeb; Monsieur nouredine / Université Badji Mokhtar/ Bouzabata,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superficielles/ inoxydable/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Toutefois, elle nécessite une homegénéité de la structure, des lrains a586% fins et la connaissance des constantes élastiques raaiocristallograpniques fproportionnelles uu module de yourg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